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AAAF" w14:textId="77777777" w:rsidR="00AA2C0A" w:rsidRDefault="00AA2C0A" w:rsidP="00AA2C0A">
      <w:r>
        <w:rPr>
          <w:rFonts w:ascii="CVS Health Sans" w:hAnsi="CVS Health Sans"/>
          <w:b/>
          <w:bCs/>
          <w:color w:val="000000"/>
        </w:rPr>
        <w:t>Significant client savings. Clinically appropriate coverage</w:t>
      </w:r>
    </w:p>
    <w:p w14:paraId="3D55A935" w14:textId="77777777" w:rsidR="00AA2C0A" w:rsidRDefault="00AA2C0A" w:rsidP="00AA2C0A">
      <w:r>
        <w:rPr>
          <w:rFonts w:ascii="CVS Health Sans" w:hAnsi="CVS Health Sans"/>
          <w:color w:val="000000"/>
        </w:rPr>
        <w:t> </w:t>
      </w:r>
    </w:p>
    <w:p w14:paraId="1A49217C" w14:textId="77777777" w:rsidR="00AA2C0A" w:rsidRDefault="00AA2C0A" w:rsidP="00AA2C0A">
      <w:r>
        <w:rPr>
          <w:rFonts w:ascii="CVS Health Sans" w:hAnsi="CVS Health Sans"/>
          <w:color w:val="000000"/>
        </w:rPr>
        <w:t xml:space="preserve">Good </w:t>
      </w:r>
      <w:proofErr w:type="gramStart"/>
      <w:r>
        <w:rPr>
          <w:rFonts w:ascii="CVS Health Sans" w:hAnsi="CVS Health Sans"/>
          <w:color w:val="000000"/>
        </w:rPr>
        <w:t>Morning</w:t>
      </w:r>
      <w:proofErr w:type="gramEnd"/>
      <w:r>
        <w:rPr>
          <w:rFonts w:ascii="CVS Health Sans" w:hAnsi="CVS Health Sans"/>
          <w:color w:val="000000"/>
        </w:rPr>
        <w:t>,</w:t>
      </w:r>
    </w:p>
    <w:p w14:paraId="0296539D" w14:textId="77777777" w:rsidR="00AA2C0A" w:rsidRDefault="00AA2C0A" w:rsidP="00AA2C0A">
      <w:r>
        <w:rPr>
          <w:rFonts w:ascii="CVS Health Sans" w:hAnsi="CVS Health Sans"/>
          <w:color w:val="000000"/>
        </w:rPr>
        <w:t> </w:t>
      </w:r>
    </w:p>
    <w:p w14:paraId="5C125F09" w14:textId="77777777" w:rsidR="00AA2C0A" w:rsidRDefault="00AA2C0A" w:rsidP="00AA2C0A">
      <w:r>
        <w:rPr>
          <w:rFonts w:ascii="CVS Health Sans" w:hAnsi="CVS Health Sans"/>
          <w:color w:val="000000"/>
        </w:rPr>
        <w:t>CVS Caremark® and Aetna® strive to help you control drug spend without compromising care</w:t>
      </w:r>
      <w:bookmarkStart w:id="0" w:name="OLE_LINK21"/>
      <w:r>
        <w:rPr>
          <w:rFonts w:ascii="CVS Health Sans" w:hAnsi="CVS Health Sans"/>
          <w:color w:val="000000"/>
        </w:rPr>
        <w:t>. To do this in an ever-changing market, we must remain agile</w:t>
      </w:r>
      <w:bookmarkEnd w:id="0"/>
      <w:r>
        <w:rPr>
          <w:rFonts w:ascii="CVS Health Sans" w:hAnsi="CVS Health Sans"/>
          <w:color w:val="000000"/>
        </w:rPr>
        <w:t xml:space="preserve">. We have a strong history of studying the market and </w:t>
      </w:r>
      <w:bookmarkStart w:id="1" w:name="OLE_LINK8"/>
      <w:r>
        <w:rPr>
          <w:rFonts w:ascii="CVS Health Sans" w:hAnsi="CVS Health Sans"/>
          <w:color w:val="000000"/>
        </w:rPr>
        <w:t>evolving our model to help you stay one step ahead.</w:t>
      </w:r>
      <w:bookmarkEnd w:id="1"/>
    </w:p>
    <w:p w14:paraId="47D4D488" w14:textId="77777777" w:rsidR="00AA2C0A" w:rsidRDefault="00AA2C0A" w:rsidP="00AA2C0A">
      <w:pPr>
        <w:shd w:val="clear" w:color="auto" w:fill="F8F8F8"/>
      </w:pPr>
      <w:r>
        <w:rPr>
          <w:rFonts w:ascii="CVS Health Sans" w:hAnsi="CVS Health Sans"/>
          <w:b/>
          <w:bCs/>
          <w:color w:val="000000"/>
        </w:rPr>
        <w:t> </w:t>
      </w:r>
    </w:p>
    <w:p w14:paraId="4AEA4457" w14:textId="77777777" w:rsidR="00AA2C0A" w:rsidRDefault="00AA2C0A" w:rsidP="00AA2C0A">
      <w:r>
        <w:rPr>
          <w:rFonts w:ascii="CVS Health Sans" w:hAnsi="CVS Health Sans"/>
          <w:b/>
          <w:bCs/>
          <w:color w:val="000000"/>
        </w:rPr>
        <w:t>Fueling benefits with biosimilars</w:t>
      </w:r>
    </w:p>
    <w:p w14:paraId="184C9CC4" w14:textId="77777777" w:rsidR="00AA2C0A" w:rsidRDefault="00AA2C0A" w:rsidP="00AA2C0A">
      <w:r>
        <w:rPr>
          <w:rFonts w:ascii="CVS Health Sans" w:hAnsi="CVS Health Sans"/>
          <w:color w:val="000000"/>
        </w:rPr>
        <w:t xml:space="preserve">Generic medications transformed the pharmacy landscape and biosimilars (FDA approved biologic medications that are highly </w:t>
      </w:r>
      <w:proofErr w:type="gramStart"/>
      <w:r>
        <w:rPr>
          <w:rFonts w:ascii="CVS Health Sans" w:hAnsi="CVS Health Sans"/>
          <w:color w:val="000000"/>
        </w:rPr>
        <w:t>similar to</w:t>
      </w:r>
      <w:proofErr w:type="gramEnd"/>
      <w:r>
        <w:rPr>
          <w:rFonts w:ascii="CVS Health Sans" w:hAnsi="CVS Health Sans"/>
          <w:color w:val="000000"/>
        </w:rPr>
        <w:t>, and have no clinically meaningful differences from, a biologic medicine already approved by the FDA) have the power to do the same. Supporting the adoption of – and easier access to – biosimilars will be critical to increasing competition and lowering specialty drug costs while improving affordability for members.</w:t>
      </w:r>
    </w:p>
    <w:p w14:paraId="4E26D8E7" w14:textId="77777777" w:rsidR="00AA2C0A" w:rsidRDefault="00AA2C0A" w:rsidP="00AA2C0A">
      <w:pPr>
        <w:pStyle w:val="ListParagraph"/>
      </w:pPr>
      <w:r>
        <w:rPr>
          <w:rFonts w:ascii="CVS Health Sans" w:hAnsi="CVS Health Sans"/>
          <w:color w:val="000000"/>
        </w:rPr>
        <w:t> </w:t>
      </w:r>
    </w:p>
    <w:p w14:paraId="435BFD9E" w14:textId="77777777" w:rsidR="00AA2C0A" w:rsidRDefault="00AA2C0A" w:rsidP="00AA2C0A">
      <w:r>
        <w:rPr>
          <w:rFonts w:ascii="CVS Health Sans" w:hAnsi="CVS Health Sans"/>
          <w:color w:val="000000"/>
        </w:rPr>
        <w:t xml:space="preserve">Effective April 1, 2024, Humira (adalimumab) will be removed from many of our commercial formularies. While this creates a need for many members to make a change to a preferred biosimilar or other preferred product, they will continue to have access to adalimumab (the same molecule), through biosimilar products that are safe, effective, easy to use and have predictable availability. Please refer to the chart we provided regarding these formulary changes at the end of this letter. </w:t>
      </w:r>
    </w:p>
    <w:p w14:paraId="3B1D7F39" w14:textId="77777777" w:rsidR="00AA2C0A" w:rsidRDefault="00AA2C0A" w:rsidP="00AA2C0A">
      <w:r>
        <w:rPr>
          <w:rFonts w:ascii="CVS Health Sans" w:hAnsi="CVS Health Sans"/>
          <w:b/>
          <w:bCs/>
          <w:color w:val="000000"/>
        </w:rPr>
        <w:t> </w:t>
      </w:r>
    </w:p>
    <w:p w14:paraId="75A68BF7" w14:textId="41011389" w:rsidR="00AA2C0A" w:rsidRDefault="00AA2C0A" w:rsidP="00AA2C0A">
      <w:r>
        <w:rPr>
          <w:rFonts w:ascii="CVS Health Sans" w:hAnsi="CVS Health Sans"/>
          <w:color w:val="000000"/>
        </w:rPr>
        <w:t>Our biosimilar-focused formulary strategy is projected to save up to 27 percent in net costs within the autoimmune class compared to 2022.</w:t>
      </w:r>
    </w:p>
    <w:p w14:paraId="11546FE7" w14:textId="77777777" w:rsidR="00AA2C0A" w:rsidRDefault="00AA2C0A" w:rsidP="00AA2C0A">
      <w:r>
        <w:rPr>
          <w:rFonts w:ascii="CVS Health Sans" w:hAnsi="CVS Health Sans"/>
          <w:b/>
          <w:bCs/>
          <w:color w:val="000000"/>
        </w:rPr>
        <w:t> </w:t>
      </w:r>
    </w:p>
    <w:p w14:paraId="6F55BD6B" w14:textId="77777777" w:rsidR="00AA2C0A" w:rsidRDefault="00AA2C0A" w:rsidP="00AA2C0A">
      <w:r>
        <w:rPr>
          <w:rFonts w:ascii="CVS Health Sans" w:hAnsi="CVS Health Sans"/>
          <w:b/>
          <w:bCs/>
          <w:color w:val="000000"/>
        </w:rPr>
        <w:t xml:space="preserve">Using clinical rigor to evaluate </w:t>
      </w:r>
      <w:proofErr w:type="gramStart"/>
      <w:r>
        <w:rPr>
          <w:rFonts w:ascii="CVS Health Sans" w:hAnsi="CVS Health Sans"/>
          <w:b/>
          <w:bCs/>
          <w:color w:val="000000"/>
        </w:rPr>
        <w:t>biosimilars</w:t>
      </w:r>
      <w:proofErr w:type="gramEnd"/>
      <w:r>
        <w:rPr>
          <w:rFonts w:ascii="CVS Health Sans" w:hAnsi="CVS Health Sans"/>
          <w:b/>
          <w:bCs/>
          <w:color w:val="000000"/>
        </w:rPr>
        <w:t xml:space="preserve"> </w:t>
      </w:r>
    </w:p>
    <w:p w14:paraId="47509D2B" w14:textId="77777777" w:rsidR="00AA2C0A" w:rsidRDefault="00AA2C0A" w:rsidP="00AA2C0A">
      <w:r>
        <w:rPr>
          <w:rFonts w:ascii="CVS Health Sans" w:hAnsi="CVS Health Sans"/>
          <w:color w:val="000000"/>
        </w:rPr>
        <w:t>The preferred products on the template formularies provide all the important attributes to ensure clinically appropriate coverage for the broad range of plan members that need therapy.</w:t>
      </w:r>
    </w:p>
    <w:p w14:paraId="7AAA58A7" w14:textId="77777777" w:rsidR="00AA2C0A" w:rsidRDefault="00AA2C0A" w:rsidP="00AA2C0A">
      <w:r>
        <w:rPr>
          <w:rFonts w:ascii="CVS Health Sans" w:hAnsi="CVS Health Sans"/>
          <w:color w:val="000000"/>
        </w:rPr>
        <w:t> </w:t>
      </w:r>
    </w:p>
    <w:p w14:paraId="7417FD4B" w14:textId="77777777" w:rsidR="00AA2C0A" w:rsidRDefault="00AA2C0A" w:rsidP="00AA2C0A">
      <w:r>
        <w:rPr>
          <w:rFonts w:ascii="CVS Health Sans" w:hAnsi="CVS Health Sans"/>
          <w:b/>
          <w:bCs/>
          <w:color w:val="000000"/>
        </w:rPr>
        <w:t>Robust member and prescriber support for a smooth transition</w:t>
      </w:r>
    </w:p>
    <w:p w14:paraId="575D258C" w14:textId="77777777" w:rsidR="00AA2C0A" w:rsidRDefault="00AA2C0A" w:rsidP="00AA2C0A">
      <w:r>
        <w:rPr>
          <w:rFonts w:ascii="CVS Health Sans" w:hAnsi="CVS Health Sans"/>
          <w:color w:val="000000"/>
        </w:rPr>
        <w:t>Using digital tools and electronic health record (EHR) connectivity, we can meaningfully engage prescribers well in advance of a formulary change to guide them through appropriate next steps and deliver an exceptional experience for members.</w:t>
      </w:r>
    </w:p>
    <w:p w14:paraId="2B765D14" w14:textId="77777777" w:rsidR="00AA2C0A" w:rsidRDefault="00AA2C0A" w:rsidP="00AA2C0A">
      <w:r>
        <w:rPr>
          <w:rFonts w:ascii="CVS Health Sans" w:hAnsi="CVS Health Sans"/>
          <w:color w:val="000000"/>
        </w:rPr>
        <w:t> </w:t>
      </w:r>
    </w:p>
    <w:p w14:paraId="76DD8D59" w14:textId="77777777" w:rsidR="00AA2C0A" w:rsidRDefault="00AA2C0A" w:rsidP="00AA2C0A">
      <w:r>
        <w:rPr>
          <w:rFonts w:ascii="CVS Health Sans" w:hAnsi="CVS Health Sans"/>
          <w:color w:val="000000"/>
        </w:rPr>
        <w:t>Historically, more than 94 percent of members have adopted preferred biosimilar products in specialty categories.</w:t>
      </w:r>
      <w:bookmarkStart w:id="2" w:name="OLE_LINK1"/>
      <w:r>
        <w:rPr>
          <w:rFonts w:ascii="CVS Health Sans" w:hAnsi="CVS Health Sans"/>
          <w:color w:val="000000"/>
          <w:vertAlign w:val="superscript"/>
        </w:rPr>
        <w:t>2</w:t>
      </w:r>
      <w:r>
        <w:rPr>
          <w:rFonts w:ascii="CVS Health Sans" w:hAnsi="CVS Health Sans"/>
          <w:color w:val="000000"/>
        </w:rPr>
        <w:t xml:space="preserve"> With a clinically sound formulary strategy that prefers biosimilars coupled with a seamless transition plan, we will deliver significant savings to you and your members. </w:t>
      </w:r>
      <w:bookmarkEnd w:id="2"/>
    </w:p>
    <w:p w14:paraId="2C847B4E" w14:textId="77777777" w:rsidR="00AA2C0A" w:rsidRDefault="00AA2C0A" w:rsidP="00AA2C0A">
      <w:r>
        <w:rPr>
          <w:rFonts w:ascii="CVS Health Sans" w:hAnsi="CVS Health Sans"/>
          <w:color w:val="000000"/>
        </w:rPr>
        <w:t> </w:t>
      </w:r>
    </w:p>
    <w:p w14:paraId="717B2F6E" w14:textId="77777777" w:rsidR="00AA2C0A" w:rsidRDefault="00AA2C0A" w:rsidP="00AA2C0A">
      <w:r>
        <w:rPr>
          <w:rFonts w:ascii="CVS Health Sans" w:hAnsi="CVS Health Sans"/>
          <w:color w:val="000000"/>
        </w:rPr>
        <w:t>Please do not hesitate to reach out with questions. We are here to help you balance cost and care in a rapidly changing health care landscape.</w:t>
      </w:r>
    </w:p>
    <w:p w14:paraId="1DD795D6" w14:textId="77777777" w:rsidR="00AA2C0A" w:rsidRDefault="00AA2C0A" w:rsidP="00AA2C0A">
      <w:pPr>
        <w:autoSpaceDE w:val="0"/>
        <w:autoSpaceDN w:val="0"/>
      </w:pPr>
      <w:r>
        <w:rPr>
          <w:rFonts w:ascii="CVS Health Sans" w:hAnsi="CVS Health Sans"/>
          <w:color w:val="000000"/>
        </w:rPr>
        <w:t> </w:t>
      </w:r>
    </w:p>
    <w:p w14:paraId="729BE46B" w14:textId="77777777" w:rsidR="00AA2C0A" w:rsidRDefault="00AA2C0A" w:rsidP="00AA2C0A">
      <w:r>
        <w:rPr>
          <w:rFonts w:ascii="CVS Health Sans" w:hAnsi="CVS Health Sans"/>
          <w:color w:val="000000"/>
        </w:rPr>
        <w:t> </w:t>
      </w:r>
    </w:p>
    <w:p w14:paraId="6196C71E" w14:textId="77777777" w:rsidR="00AA2C0A" w:rsidRDefault="00AA2C0A" w:rsidP="00AA2C0A">
      <w:pPr>
        <w:spacing w:before="120" w:after="120"/>
      </w:pPr>
      <w:r>
        <w:rPr>
          <w:rFonts w:ascii="CVS Health Sans" w:hAnsi="CVS Health Sans"/>
          <w:b/>
          <w:bCs/>
          <w:color w:val="000000"/>
        </w:rPr>
        <w:t>Thank you,</w:t>
      </w:r>
    </w:p>
    <w:p w14:paraId="7061B99D" w14:textId="77777777" w:rsidR="00AA2C0A" w:rsidRDefault="00AA2C0A" w:rsidP="00AA2C0A">
      <w:pPr>
        <w:spacing w:before="120" w:after="120"/>
        <w:rPr>
          <w:rFonts w:ascii="CVS Health Sans" w:hAnsi="CVS Health Sans"/>
          <w:b/>
          <w:bCs/>
          <w:color w:val="000000"/>
        </w:rPr>
      </w:pPr>
      <w:r>
        <w:rPr>
          <w:rFonts w:ascii="CVS Health Sans" w:hAnsi="CVS Health Sans"/>
          <w:b/>
          <w:bCs/>
          <w:color w:val="000000"/>
        </w:rPr>
        <w:t>Penny Pollard, Account Manager</w:t>
      </w:r>
    </w:p>
    <w:p w14:paraId="5111D0B4" w14:textId="77777777" w:rsidR="00AA2C0A" w:rsidRDefault="00AA2C0A" w:rsidP="00AA2C0A">
      <w:pPr>
        <w:spacing w:before="120" w:after="120"/>
        <w:rPr>
          <w:rFonts w:ascii="CVS Health Sans" w:hAnsi="CVS Health Sans"/>
          <w:b/>
          <w:bCs/>
          <w:color w:val="000000"/>
        </w:rPr>
      </w:pPr>
    </w:p>
    <w:p w14:paraId="5F8E1E8D" w14:textId="77777777" w:rsidR="00AA2C0A" w:rsidRDefault="00AA2C0A" w:rsidP="00AA2C0A">
      <w:pPr>
        <w:spacing w:before="120" w:after="120"/>
      </w:pPr>
    </w:p>
    <w:p w14:paraId="4640B942" w14:textId="77777777" w:rsidR="00AA2C0A" w:rsidRDefault="00AA2C0A" w:rsidP="00AA2C0A">
      <w:pPr>
        <w:pStyle w:val="EndnoteText"/>
      </w:pPr>
      <w:r>
        <w:rPr>
          <w:b/>
          <w:bCs/>
          <w:color w:val="000000"/>
          <w:sz w:val="24"/>
          <w:szCs w:val="24"/>
        </w:rPr>
        <w:lastRenderedPageBreak/>
        <w:t>Aetna Commercial Formulary Strategy Effective April 1, 2024</w:t>
      </w:r>
      <w:r>
        <w:rPr>
          <w:color w:val="000000"/>
          <w:sz w:val="24"/>
          <w:szCs w:val="24"/>
        </w:rPr>
        <w:t> </w:t>
      </w:r>
    </w:p>
    <w:p w14:paraId="4D2D7337" w14:textId="3B9089D0" w:rsidR="00AA2C0A" w:rsidRDefault="00AA2C0A" w:rsidP="00AA2C0A">
      <w:pPr>
        <w:pStyle w:val="EndnoteText"/>
      </w:pPr>
      <w:r>
        <w:rPr>
          <w:b/>
          <w:bCs/>
          <w:color w:val="000000"/>
        </w:rPr>
        <w:t> </w:t>
      </w:r>
      <w:r>
        <w:rPr>
          <w:color w:val="000000"/>
        </w:rPr>
        <w:t> </w:t>
      </w:r>
    </w:p>
    <w:p w14:paraId="63A9E1AA" w14:textId="77777777" w:rsidR="00AA2C0A" w:rsidRPr="00AA2C0A" w:rsidRDefault="00AA2C0A" w:rsidP="00AA2C0A">
      <w:pPr>
        <w:pStyle w:val="EndnoteText"/>
        <w:ind w:firstLine="720"/>
        <w:rPr>
          <w:sz w:val="22"/>
          <w:szCs w:val="22"/>
        </w:rPr>
      </w:pPr>
      <w:r w:rsidRPr="00AA2C0A">
        <w:rPr>
          <w:b/>
          <w:bCs/>
          <w:color w:val="000000"/>
          <w:sz w:val="22"/>
          <w:szCs w:val="22"/>
        </w:rPr>
        <w:t>Fully Insured plan sponsors </w:t>
      </w:r>
    </w:p>
    <w:tbl>
      <w:tblPr>
        <w:tblW w:w="862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9"/>
        <w:gridCol w:w="2940"/>
        <w:gridCol w:w="3721"/>
      </w:tblGrid>
      <w:tr w:rsidR="00AA2C0A" w14:paraId="36D7419A" w14:textId="77777777" w:rsidTr="008D08DB">
        <w:trPr>
          <w:trHeight w:val="300"/>
        </w:trPr>
        <w:tc>
          <w:tcPr>
            <w:tcW w:w="8620" w:type="dxa"/>
            <w:gridSpan w:val="3"/>
            <w:tcBorders>
              <w:top w:val="single" w:sz="8" w:space="0" w:color="auto"/>
              <w:left w:val="single" w:sz="8" w:space="0" w:color="auto"/>
              <w:bottom w:val="single" w:sz="8" w:space="0" w:color="auto"/>
              <w:right w:val="single" w:sz="8" w:space="0" w:color="auto"/>
            </w:tcBorders>
            <w:shd w:val="clear" w:color="auto" w:fill="000000"/>
            <w:vAlign w:val="center"/>
            <w:hideMark/>
          </w:tcPr>
          <w:p w14:paraId="07432B0D" w14:textId="77777777" w:rsidR="00AA2C0A" w:rsidRDefault="00AA2C0A">
            <w:pPr>
              <w:pStyle w:val="EndnoteText"/>
              <w:spacing w:line="252" w:lineRule="auto"/>
            </w:pPr>
            <w:r>
              <w:rPr>
                <w:b/>
                <w:bCs/>
                <w:color w:val="FFFFFF"/>
              </w:rPr>
              <w:t>Commercial Formularies – Insured</w:t>
            </w:r>
            <w:r>
              <w:rPr>
                <w:color w:val="FFFFFF"/>
              </w:rPr>
              <w:t> </w:t>
            </w:r>
          </w:p>
        </w:tc>
      </w:tr>
      <w:tr w:rsidR="00AA2C0A" w14:paraId="103C579B" w14:textId="77777777" w:rsidTr="008D08DB">
        <w:trPr>
          <w:trHeight w:val="300"/>
        </w:trPr>
        <w:tc>
          <w:tcPr>
            <w:tcW w:w="1959" w:type="dxa"/>
            <w:tcBorders>
              <w:top w:val="nil"/>
              <w:left w:val="single" w:sz="8" w:space="0" w:color="auto"/>
              <w:bottom w:val="single" w:sz="8" w:space="0" w:color="auto"/>
              <w:right w:val="single" w:sz="8" w:space="0" w:color="auto"/>
            </w:tcBorders>
            <w:hideMark/>
          </w:tcPr>
          <w:p w14:paraId="7AFC8D67" w14:textId="77777777" w:rsidR="00AA2C0A" w:rsidRDefault="00AA2C0A">
            <w:pPr>
              <w:pStyle w:val="EndnoteText"/>
              <w:spacing w:line="252" w:lineRule="auto"/>
            </w:pPr>
            <w:r>
              <w:t>Advanced Control Plan-Aetna </w:t>
            </w:r>
          </w:p>
        </w:tc>
        <w:tc>
          <w:tcPr>
            <w:tcW w:w="2940" w:type="dxa"/>
            <w:tcBorders>
              <w:top w:val="nil"/>
              <w:left w:val="nil"/>
              <w:bottom w:val="single" w:sz="8" w:space="0" w:color="auto"/>
              <w:right w:val="single" w:sz="8" w:space="0" w:color="auto"/>
            </w:tcBorders>
            <w:hideMark/>
          </w:tcPr>
          <w:p w14:paraId="45C9AE2A" w14:textId="77777777" w:rsidR="00AA2C0A" w:rsidRDefault="00AA2C0A">
            <w:pPr>
              <w:pStyle w:val="EndnoteText"/>
              <w:spacing w:line="252" w:lineRule="auto"/>
            </w:pPr>
            <w:r>
              <w:t>ADALIMUMAB-ADAZ  </w:t>
            </w:r>
          </w:p>
          <w:p w14:paraId="652B63F0" w14:textId="77777777" w:rsidR="00AA2C0A" w:rsidRDefault="00AA2C0A">
            <w:pPr>
              <w:pStyle w:val="EndnoteText"/>
              <w:spacing w:line="252" w:lineRule="auto"/>
            </w:pPr>
            <w:r>
              <w:t>HYRIMOZ  </w:t>
            </w:r>
          </w:p>
        </w:tc>
        <w:tc>
          <w:tcPr>
            <w:tcW w:w="3721" w:type="dxa"/>
            <w:tcBorders>
              <w:top w:val="nil"/>
              <w:left w:val="nil"/>
              <w:bottom w:val="single" w:sz="8" w:space="0" w:color="auto"/>
              <w:right w:val="single" w:sz="8" w:space="0" w:color="auto"/>
            </w:tcBorders>
            <w:hideMark/>
          </w:tcPr>
          <w:p w14:paraId="4CA5D07E" w14:textId="77777777" w:rsidR="00AA2C0A" w:rsidRDefault="00AA2C0A">
            <w:pPr>
              <w:pStyle w:val="EndnoteText"/>
              <w:spacing w:line="252" w:lineRule="auto"/>
            </w:pPr>
            <w:r>
              <w:t>CIMZIA, COSENTYX, ENBREL, KEVZARA, ORENCIA SQ/CLICK, OTEZLA, RINVOQ, SKYRIZI SUBCUTANEOUS, SOTYKTU, STELARA SUBCUTANEOUS, TALTZ, TREMFYA, XELJANZ, XELJANZ XR, ZEPOSIA  </w:t>
            </w:r>
          </w:p>
        </w:tc>
      </w:tr>
      <w:tr w:rsidR="00AA2C0A" w14:paraId="1C9B8AA6" w14:textId="77777777" w:rsidTr="008D08DB">
        <w:trPr>
          <w:trHeight w:val="300"/>
        </w:trPr>
        <w:tc>
          <w:tcPr>
            <w:tcW w:w="1959" w:type="dxa"/>
            <w:tcBorders>
              <w:top w:val="nil"/>
              <w:left w:val="single" w:sz="8" w:space="0" w:color="auto"/>
              <w:bottom w:val="single" w:sz="8" w:space="0" w:color="auto"/>
              <w:right w:val="single" w:sz="8" w:space="0" w:color="auto"/>
            </w:tcBorders>
            <w:hideMark/>
          </w:tcPr>
          <w:p w14:paraId="75F98303" w14:textId="77777777" w:rsidR="00AA2C0A" w:rsidRDefault="00AA2C0A">
            <w:pPr>
              <w:pStyle w:val="EndnoteText"/>
              <w:spacing w:line="252" w:lineRule="auto"/>
            </w:pPr>
            <w:r>
              <w:t xml:space="preserve">Standard </w:t>
            </w:r>
            <w:proofErr w:type="spellStart"/>
            <w:r>
              <w:t>Opt</w:t>
            </w:r>
            <w:proofErr w:type="spellEnd"/>
            <w:r>
              <w:t xml:space="preserve"> Out-Aetna  </w:t>
            </w:r>
          </w:p>
        </w:tc>
        <w:tc>
          <w:tcPr>
            <w:tcW w:w="2940" w:type="dxa"/>
            <w:tcBorders>
              <w:top w:val="nil"/>
              <w:left w:val="nil"/>
              <w:bottom w:val="single" w:sz="8" w:space="0" w:color="auto"/>
              <w:right w:val="single" w:sz="8" w:space="0" w:color="auto"/>
            </w:tcBorders>
            <w:hideMark/>
          </w:tcPr>
          <w:p w14:paraId="002402A7" w14:textId="77777777" w:rsidR="00AA2C0A" w:rsidRDefault="00AA2C0A">
            <w:pPr>
              <w:pStyle w:val="EndnoteText"/>
              <w:spacing w:line="252" w:lineRule="auto"/>
            </w:pPr>
            <w:r>
              <w:t>ADALIMUMAB-ADAZ  </w:t>
            </w:r>
          </w:p>
          <w:p w14:paraId="00867E30" w14:textId="77777777" w:rsidR="00AA2C0A" w:rsidRDefault="00AA2C0A">
            <w:pPr>
              <w:pStyle w:val="EndnoteText"/>
              <w:spacing w:line="252" w:lineRule="auto"/>
            </w:pPr>
            <w:r>
              <w:t>HYRIMOZ  </w:t>
            </w:r>
          </w:p>
        </w:tc>
        <w:tc>
          <w:tcPr>
            <w:tcW w:w="3721" w:type="dxa"/>
            <w:tcBorders>
              <w:top w:val="nil"/>
              <w:left w:val="nil"/>
              <w:bottom w:val="single" w:sz="8" w:space="0" w:color="auto"/>
              <w:right w:val="single" w:sz="8" w:space="0" w:color="auto"/>
            </w:tcBorders>
            <w:hideMark/>
          </w:tcPr>
          <w:p w14:paraId="42A3AFC9" w14:textId="77777777" w:rsidR="00AA2C0A" w:rsidRDefault="00AA2C0A">
            <w:pPr>
              <w:pStyle w:val="EndnoteText"/>
              <w:spacing w:line="252" w:lineRule="auto"/>
            </w:pPr>
            <w:r>
              <w:t>CIMZIA, COSENTYX, ENBREL, KEVZARA, ORENCIA SQ/CLICK, OTEZLA, RINVOQ, SKYRIZI SUBCUTANEOUS, SOTYKTU, STELARA SUBCUTANEOUS, TALTZ, TREMFYA, XELJANZ, XELJANZ XR, ZEPOSIA  </w:t>
            </w:r>
          </w:p>
        </w:tc>
      </w:tr>
    </w:tbl>
    <w:p w14:paraId="6B787AD7" w14:textId="77777777" w:rsidR="00AA2C0A" w:rsidRPr="00AA2C0A" w:rsidRDefault="00AA2C0A" w:rsidP="00AA2C0A">
      <w:pPr>
        <w:pStyle w:val="EndnoteText"/>
        <w:ind w:firstLine="720"/>
        <w:rPr>
          <w:sz w:val="22"/>
          <w:szCs w:val="22"/>
        </w:rPr>
      </w:pPr>
      <w:r w:rsidRPr="00AA2C0A">
        <w:rPr>
          <w:b/>
          <w:bCs/>
          <w:color w:val="000000"/>
          <w:sz w:val="22"/>
          <w:szCs w:val="22"/>
        </w:rPr>
        <w:t>Self-funded plan sponsors with impacted formulary change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9"/>
        <w:gridCol w:w="2936"/>
        <w:gridCol w:w="3715"/>
      </w:tblGrid>
      <w:tr w:rsidR="00AA2C0A" w14:paraId="318C6A11" w14:textId="77777777" w:rsidTr="00AA2C0A">
        <w:trPr>
          <w:trHeight w:val="300"/>
        </w:trPr>
        <w:tc>
          <w:tcPr>
            <w:tcW w:w="2040" w:type="dxa"/>
            <w:tcBorders>
              <w:top w:val="single" w:sz="8" w:space="0" w:color="auto"/>
              <w:left w:val="single" w:sz="8" w:space="0" w:color="auto"/>
              <w:bottom w:val="single" w:sz="8" w:space="0" w:color="auto"/>
              <w:right w:val="single" w:sz="8" w:space="0" w:color="auto"/>
            </w:tcBorders>
            <w:shd w:val="clear" w:color="auto" w:fill="E7E6E6"/>
            <w:hideMark/>
          </w:tcPr>
          <w:p w14:paraId="080D7016" w14:textId="77777777" w:rsidR="00AA2C0A" w:rsidRDefault="00AA2C0A">
            <w:pPr>
              <w:pStyle w:val="EndnoteText"/>
              <w:spacing w:line="252" w:lineRule="auto"/>
            </w:pPr>
            <w:r>
              <w:rPr>
                <w:b/>
                <w:bCs/>
                <w:color w:val="000000"/>
              </w:rPr>
              <w:t>Formulary </w:t>
            </w:r>
            <w:r>
              <w:rPr>
                <w:color w:val="000000"/>
              </w:rPr>
              <w:t>  </w:t>
            </w:r>
          </w:p>
        </w:tc>
        <w:tc>
          <w:tcPr>
            <w:tcW w:w="3060" w:type="dxa"/>
            <w:tcBorders>
              <w:top w:val="single" w:sz="8" w:space="0" w:color="auto"/>
              <w:left w:val="nil"/>
              <w:bottom w:val="single" w:sz="8" w:space="0" w:color="auto"/>
              <w:right w:val="single" w:sz="8" w:space="0" w:color="auto"/>
            </w:tcBorders>
            <w:shd w:val="clear" w:color="auto" w:fill="E7E6E6"/>
            <w:hideMark/>
          </w:tcPr>
          <w:p w14:paraId="0691B7B7" w14:textId="77777777" w:rsidR="00AA2C0A" w:rsidRDefault="00AA2C0A">
            <w:pPr>
              <w:pStyle w:val="EndnoteText"/>
              <w:spacing w:line="252" w:lineRule="auto"/>
            </w:pPr>
            <w:r>
              <w:rPr>
                <w:b/>
                <w:bCs/>
                <w:color w:val="000000"/>
              </w:rPr>
              <w:t>Preferred Biosimilar and Reference Brand Options</w:t>
            </w:r>
            <w:r>
              <w:rPr>
                <w:color w:val="000000"/>
              </w:rPr>
              <w:t>  </w:t>
            </w:r>
          </w:p>
        </w:tc>
        <w:tc>
          <w:tcPr>
            <w:tcW w:w="3870" w:type="dxa"/>
            <w:tcBorders>
              <w:top w:val="single" w:sz="8" w:space="0" w:color="auto"/>
              <w:left w:val="nil"/>
              <w:bottom w:val="single" w:sz="8" w:space="0" w:color="auto"/>
              <w:right w:val="single" w:sz="8" w:space="0" w:color="auto"/>
            </w:tcBorders>
            <w:shd w:val="clear" w:color="auto" w:fill="E7E6E6"/>
            <w:hideMark/>
          </w:tcPr>
          <w:p w14:paraId="1F41920B" w14:textId="77777777" w:rsidR="00AA2C0A" w:rsidRDefault="00AA2C0A">
            <w:pPr>
              <w:pStyle w:val="EndnoteText"/>
              <w:spacing w:line="252" w:lineRule="auto"/>
            </w:pPr>
            <w:r>
              <w:rPr>
                <w:b/>
                <w:bCs/>
                <w:color w:val="000000"/>
              </w:rPr>
              <w:t>Other Preferred Options*</w:t>
            </w:r>
            <w:r>
              <w:rPr>
                <w:color w:val="000000"/>
              </w:rPr>
              <w:t>  </w:t>
            </w:r>
          </w:p>
        </w:tc>
      </w:tr>
      <w:tr w:rsidR="00AA2C0A" w14:paraId="5EFA6241" w14:textId="77777777" w:rsidTr="00AA2C0A">
        <w:trPr>
          <w:trHeight w:val="300"/>
        </w:trPr>
        <w:tc>
          <w:tcPr>
            <w:tcW w:w="8985" w:type="dxa"/>
            <w:gridSpan w:val="3"/>
            <w:tcBorders>
              <w:top w:val="nil"/>
              <w:left w:val="single" w:sz="8" w:space="0" w:color="auto"/>
              <w:bottom w:val="single" w:sz="8" w:space="0" w:color="auto"/>
              <w:right w:val="single" w:sz="8" w:space="0" w:color="auto"/>
            </w:tcBorders>
            <w:shd w:val="clear" w:color="auto" w:fill="000000"/>
            <w:vAlign w:val="center"/>
            <w:hideMark/>
          </w:tcPr>
          <w:p w14:paraId="72CDDF3F" w14:textId="77777777" w:rsidR="00AA2C0A" w:rsidRDefault="00AA2C0A">
            <w:pPr>
              <w:pStyle w:val="EndnoteText"/>
              <w:spacing w:line="252" w:lineRule="auto"/>
            </w:pPr>
            <w:r>
              <w:rPr>
                <w:b/>
                <w:bCs/>
                <w:color w:val="FFFFFF"/>
              </w:rPr>
              <w:t>Commercial Formularies – Self-Funded</w:t>
            </w:r>
            <w:r>
              <w:rPr>
                <w:color w:val="FFFFFF"/>
              </w:rPr>
              <w:t>  </w:t>
            </w:r>
          </w:p>
        </w:tc>
      </w:tr>
      <w:tr w:rsidR="00AA2C0A" w14:paraId="2EAAF616" w14:textId="77777777" w:rsidTr="00AA2C0A">
        <w:trPr>
          <w:trHeight w:val="300"/>
        </w:trPr>
        <w:tc>
          <w:tcPr>
            <w:tcW w:w="2040" w:type="dxa"/>
            <w:tcBorders>
              <w:top w:val="nil"/>
              <w:left w:val="single" w:sz="8" w:space="0" w:color="auto"/>
              <w:bottom w:val="single" w:sz="8" w:space="0" w:color="auto"/>
              <w:right w:val="single" w:sz="8" w:space="0" w:color="auto"/>
            </w:tcBorders>
            <w:hideMark/>
          </w:tcPr>
          <w:p w14:paraId="469846E2" w14:textId="77777777" w:rsidR="00AA2C0A" w:rsidRDefault="00AA2C0A">
            <w:pPr>
              <w:pStyle w:val="EndnoteText"/>
              <w:spacing w:line="252" w:lineRule="auto"/>
            </w:pPr>
            <w:r>
              <w:t>Advanced Control Plan  </w:t>
            </w:r>
          </w:p>
        </w:tc>
        <w:tc>
          <w:tcPr>
            <w:tcW w:w="3060" w:type="dxa"/>
            <w:tcBorders>
              <w:top w:val="nil"/>
              <w:left w:val="nil"/>
              <w:bottom w:val="single" w:sz="8" w:space="0" w:color="auto"/>
              <w:right w:val="single" w:sz="8" w:space="0" w:color="auto"/>
            </w:tcBorders>
            <w:hideMark/>
          </w:tcPr>
          <w:p w14:paraId="5AE41BD3" w14:textId="77777777" w:rsidR="00AA2C0A" w:rsidRDefault="00AA2C0A">
            <w:pPr>
              <w:pStyle w:val="EndnoteText"/>
              <w:spacing w:line="252" w:lineRule="auto"/>
            </w:pPr>
            <w:r>
              <w:t>ADALIMUMAB-ADAZ  </w:t>
            </w:r>
          </w:p>
          <w:p w14:paraId="7C0C51AE" w14:textId="77777777" w:rsidR="00AA2C0A" w:rsidRDefault="00AA2C0A">
            <w:pPr>
              <w:pStyle w:val="EndnoteText"/>
              <w:spacing w:line="252" w:lineRule="auto"/>
            </w:pPr>
            <w:r>
              <w:t>HYRIMOZ  </w:t>
            </w:r>
          </w:p>
        </w:tc>
        <w:tc>
          <w:tcPr>
            <w:tcW w:w="3870" w:type="dxa"/>
            <w:tcBorders>
              <w:top w:val="nil"/>
              <w:left w:val="nil"/>
              <w:bottom w:val="single" w:sz="8" w:space="0" w:color="auto"/>
              <w:right w:val="single" w:sz="8" w:space="0" w:color="auto"/>
            </w:tcBorders>
            <w:hideMark/>
          </w:tcPr>
          <w:p w14:paraId="7FA66CDA" w14:textId="77777777" w:rsidR="00AA2C0A" w:rsidRDefault="00AA2C0A">
            <w:pPr>
              <w:pStyle w:val="EndnoteText"/>
              <w:spacing w:line="252" w:lineRule="auto"/>
            </w:pPr>
            <w:r>
              <w:t>CIMZIA, COSENTYX, ENBREL, KEVZARA, ORENCIA SQ/CLICK, OTEZLA, RINVOQ, SKYRIZI SUBCUTANEOUS, SOTYKTU, STELARA SUBCUTANEOUS, TALTZ, TREMFYA, XELJANZ, XELJANZ XR, ZEPOSIA  </w:t>
            </w:r>
          </w:p>
        </w:tc>
      </w:tr>
      <w:tr w:rsidR="00AA2C0A" w14:paraId="124FFB40" w14:textId="77777777" w:rsidTr="00AA2C0A">
        <w:trPr>
          <w:trHeight w:val="300"/>
        </w:trPr>
        <w:tc>
          <w:tcPr>
            <w:tcW w:w="2040" w:type="dxa"/>
            <w:tcBorders>
              <w:top w:val="nil"/>
              <w:left w:val="single" w:sz="8" w:space="0" w:color="auto"/>
              <w:bottom w:val="single" w:sz="8" w:space="0" w:color="auto"/>
              <w:right w:val="single" w:sz="8" w:space="0" w:color="auto"/>
            </w:tcBorders>
            <w:hideMark/>
          </w:tcPr>
          <w:p w14:paraId="6FAF6C73" w14:textId="77777777" w:rsidR="00AA2C0A" w:rsidRDefault="00AA2C0A">
            <w:pPr>
              <w:pStyle w:val="EndnoteText"/>
              <w:spacing w:line="252" w:lineRule="auto"/>
            </w:pPr>
            <w:r>
              <w:t>Aetna Standard Plan   </w:t>
            </w:r>
          </w:p>
        </w:tc>
        <w:tc>
          <w:tcPr>
            <w:tcW w:w="3060" w:type="dxa"/>
            <w:tcBorders>
              <w:top w:val="nil"/>
              <w:left w:val="nil"/>
              <w:bottom w:val="single" w:sz="8" w:space="0" w:color="auto"/>
              <w:right w:val="single" w:sz="8" w:space="0" w:color="auto"/>
            </w:tcBorders>
            <w:hideMark/>
          </w:tcPr>
          <w:p w14:paraId="37E07C67" w14:textId="77777777" w:rsidR="00AA2C0A" w:rsidRDefault="00AA2C0A">
            <w:pPr>
              <w:pStyle w:val="EndnoteText"/>
              <w:spacing w:line="252" w:lineRule="auto"/>
            </w:pPr>
            <w:r>
              <w:t>ADALIMUMAB-ADAZ  </w:t>
            </w:r>
          </w:p>
          <w:p w14:paraId="3A114260" w14:textId="77777777" w:rsidR="00AA2C0A" w:rsidRDefault="00AA2C0A">
            <w:pPr>
              <w:pStyle w:val="EndnoteText"/>
              <w:spacing w:line="252" w:lineRule="auto"/>
            </w:pPr>
            <w:r>
              <w:t>HYRIMOZ  </w:t>
            </w:r>
          </w:p>
        </w:tc>
        <w:tc>
          <w:tcPr>
            <w:tcW w:w="3870" w:type="dxa"/>
            <w:tcBorders>
              <w:top w:val="nil"/>
              <w:left w:val="nil"/>
              <w:bottom w:val="single" w:sz="8" w:space="0" w:color="auto"/>
              <w:right w:val="single" w:sz="8" w:space="0" w:color="auto"/>
            </w:tcBorders>
            <w:hideMark/>
          </w:tcPr>
          <w:p w14:paraId="432C373D" w14:textId="77777777" w:rsidR="00AA2C0A" w:rsidRDefault="00AA2C0A">
            <w:pPr>
              <w:pStyle w:val="EndnoteText"/>
              <w:spacing w:line="252" w:lineRule="auto"/>
            </w:pPr>
            <w:r>
              <w:t>CIMZIA, COSENTYX, ENBREL, KEVZARA, ORENCIA SQ/CLICK, OTEZLA, RINVOQ, SKYRIZI SUBCUTANEOUS, SOTYKTU, STELARA SUBCUTANEOUS, TALTZ, TREMFYA, XELJANZ, XELJANZ XR, ZEPOSIA  </w:t>
            </w:r>
          </w:p>
        </w:tc>
      </w:tr>
      <w:tr w:rsidR="00AA2C0A" w14:paraId="529165C0" w14:textId="77777777" w:rsidTr="00AA2C0A">
        <w:trPr>
          <w:trHeight w:val="300"/>
        </w:trPr>
        <w:tc>
          <w:tcPr>
            <w:tcW w:w="2040" w:type="dxa"/>
            <w:tcBorders>
              <w:top w:val="nil"/>
              <w:left w:val="single" w:sz="8" w:space="0" w:color="auto"/>
              <w:bottom w:val="single" w:sz="8" w:space="0" w:color="auto"/>
              <w:right w:val="single" w:sz="8" w:space="0" w:color="auto"/>
            </w:tcBorders>
            <w:hideMark/>
          </w:tcPr>
          <w:p w14:paraId="216682CB" w14:textId="77777777" w:rsidR="00AA2C0A" w:rsidRDefault="00AA2C0A">
            <w:pPr>
              <w:pStyle w:val="EndnoteText"/>
              <w:spacing w:line="252" w:lineRule="auto"/>
            </w:pPr>
            <w:r>
              <w:t xml:space="preserve">Basic Control Plan </w:t>
            </w:r>
          </w:p>
          <w:p w14:paraId="74B47697" w14:textId="77777777" w:rsidR="00AA2C0A" w:rsidRDefault="00AA2C0A">
            <w:pPr>
              <w:pStyle w:val="EndnoteText"/>
              <w:spacing w:line="252" w:lineRule="auto"/>
            </w:pPr>
            <w:r>
              <w:t> </w:t>
            </w:r>
          </w:p>
          <w:p w14:paraId="4A367EAF" w14:textId="77777777" w:rsidR="00AA2C0A" w:rsidRDefault="00AA2C0A">
            <w:pPr>
              <w:pStyle w:val="EndnoteText"/>
              <w:spacing w:line="252" w:lineRule="auto"/>
            </w:pPr>
            <w:r>
              <w:t>and</w:t>
            </w:r>
          </w:p>
          <w:p w14:paraId="27A6D4EB" w14:textId="77777777" w:rsidR="00AA2C0A" w:rsidRDefault="00AA2C0A">
            <w:pPr>
              <w:pStyle w:val="EndnoteText"/>
              <w:spacing w:line="252" w:lineRule="auto"/>
            </w:pPr>
            <w:r>
              <w:t> </w:t>
            </w:r>
          </w:p>
          <w:p w14:paraId="464310F0" w14:textId="77777777" w:rsidR="00AA2C0A" w:rsidRDefault="00AA2C0A">
            <w:pPr>
              <w:pStyle w:val="EndnoteText"/>
              <w:spacing w:line="252" w:lineRule="auto"/>
            </w:pPr>
            <w:r>
              <w:t>Basic Control Plan with ACSF </w:t>
            </w:r>
          </w:p>
        </w:tc>
        <w:tc>
          <w:tcPr>
            <w:tcW w:w="3060" w:type="dxa"/>
            <w:tcBorders>
              <w:top w:val="nil"/>
              <w:left w:val="nil"/>
              <w:bottom w:val="single" w:sz="8" w:space="0" w:color="auto"/>
              <w:right w:val="single" w:sz="8" w:space="0" w:color="auto"/>
            </w:tcBorders>
            <w:hideMark/>
          </w:tcPr>
          <w:p w14:paraId="15EDB1AA" w14:textId="77777777" w:rsidR="00AA2C0A" w:rsidRDefault="00AA2C0A">
            <w:pPr>
              <w:pStyle w:val="EndnoteText"/>
              <w:spacing w:line="252" w:lineRule="auto"/>
            </w:pPr>
            <w:r>
              <w:t>ADALIMUMAB-ADAZ  </w:t>
            </w:r>
          </w:p>
          <w:p w14:paraId="5AC57E81" w14:textId="77777777" w:rsidR="00AA2C0A" w:rsidRDefault="00AA2C0A">
            <w:pPr>
              <w:pStyle w:val="EndnoteText"/>
              <w:spacing w:line="252" w:lineRule="auto"/>
            </w:pPr>
            <w:r>
              <w:t>HYRIMOZ  </w:t>
            </w:r>
          </w:p>
        </w:tc>
        <w:tc>
          <w:tcPr>
            <w:tcW w:w="3870" w:type="dxa"/>
            <w:tcBorders>
              <w:top w:val="nil"/>
              <w:left w:val="nil"/>
              <w:bottom w:val="single" w:sz="8" w:space="0" w:color="auto"/>
              <w:right w:val="single" w:sz="8" w:space="0" w:color="auto"/>
            </w:tcBorders>
            <w:hideMark/>
          </w:tcPr>
          <w:p w14:paraId="6592FA18" w14:textId="77777777" w:rsidR="00AA2C0A" w:rsidRDefault="00AA2C0A">
            <w:pPr>
              <w:pStyle w:val="EndnoteText"/>
              <w:spacing w:line="252" w:lineRule="auto"/>
            </w:pPr>
            <w:r>
              <w:t>CIMZIA, COSENTYX, ENBREL, KEVZARA, ORENCIA SQ/CLICK, OTEZLA, RINVOQ, SKYRIZI SUBCUTANEOUS, SOTYKTU, STELARA SUBCUTANEOUS, TALTZ, TREMFYA, XELJANZ, XELJANZ XR, ZEPOSIA  </w:t>
            </w:r>
          </w:p>
        </w:tc>
      </w:tr>
      <w:tr w:rsidR="00AA2C0A" w14:paraId="52EA6EA2" w14:textId="77777777" w:rsidTr="008D08DB">
        <w:trPr>
          <w:trHeight w:val="300"/>
        </w:trPr>
        <w:tc>
          <w:tcPr>
            <w:tcW w:w="2040" w:type="dxa"/>
            <w:tcBorders>
              <w:top w:val="nil"/>
              <w:left w:val="single" w:sz="8" w:space="0" w:color="auto"/>
              <w:bottom w:val="single" w:sz="8" w:space="0" w:color="auto"/>
              <w:right w:val="single" w:sz="8" w:space="0" w:color="auto"/>
            </w:tcBorders>
            <w:shd w:val="clear" w:color="auto" w:fill="auto"/>
            <w:hideMark/>
          </w:tcPr>
          <w:p w14:paraId="2EF95A55" w14:textId="77777777" w:rsidR="00AA2C0A" w:rsidRDefault="00AA2C0A">
            <w:pPr>
              <w:pStyle w:val="EndnoteText"/>
              <w:spacing w:line="252" w:lineRule="auto"/>
            </w:pPr>
            <w:r>
              <w:t>High Value Plan </w:t>
            </w:r>
          </w:p>
        </w:tc>
        <w:tc>
          <w:tcPr>
            <w:tcW w:w="3060" w:type="dxa"/>
            <w:tcBorders>
              <w:top w:val="nil"/>
              <w:left w:val="nil"/>
              <w:bottom w:val="single" w:sz="8" w:space="0" w:color="auto"/>
              <w:right w:val="single" w:sz="8" w:space="0" w:color="auto"/>
            </w:tcBorders>
            <w:shd w:val="clear" w:color="auto" w:fill="auto"/>
            <w:hideMark/>
          </w:tcPr>
          <w:p w14:paraId="2F0B31B7" w14:textId="77777777" w:rsidR="00AA2C0A" w:rsidRDefault="00AA2C0A">
            <w:pPr>
              <w:pStyle w:val="EndnoteText"/>
              <w:spacing w:line="252" w:lineRule="auto"/>
            </w:pPr>
            <w:r>
              <w:t>ADALIMUMAB-ADAZ   </w:t>
            </w:r>
          </w:p>
          <w:p w14:paraId="5B7F1438" w14:textId="77777777" w:rsidR="00AA2C0A" w:rsidRDefault="00AA2C0A">
            <w:pPr>
              <w:pStyle w:val="EndnoteText"/>
              <w:spacing w:line="252" w:lineRule="auto"/>
            </w:pPr>
            <w:r>
              <w:t>HADLIMA  </w:t>
            </w:r>
          </w:p>
          <w:p w14:paraId="353780E9" w14:textId="77777777" w:rsidR="00AA2C0A" w:rsidRDefault="00AA2C0A">
            <w:pPr>
              <w:pStyle w:val="EndnoteText"/>
              <w:spacing w:line="252" w:lineRule="auto"/>
            </w:pPr>
            <w:r>
              <w:t>HYRIMOZ  </w:t>
            </w:r>
          </w:p>
        </w:tc>
        <w:tc>
          <w:tcPr>
            <w:tcW w:w="3870" w:type="dxa"/>
            <w:tcBorders>
              <w:top w:val="nil"/>
              <w:left w:val="nil"/>
              <w:bottom w:val="single" w:sz="8" w:space="0" w:color="auto"/>
              <w:right w:val="single" w:sz="8" w:space="0" w:color="auto"/>
            </w:tcBorders>
            <w:hideMark/>
          </w:tcPr>
          <w:p w14:paraId="2D5938F2" w14:textId="77777777" w:rsidR="00AA2C0A" w:rsidRDefault="00AA2C0A">
            <w:pPr>
              <w:pStyle w:val="EndnoteText"/>
              <w:spacing w:line="252" w:lineRule="auto"/>
            </w:pPr>
            <w:r>
              <w:t>CIMZIA, COSENTYX, ENBREL, KEVZARA, ORENCIA SQ/CLICK, OTEZLA, RINVOQ, SKYRIZI SUBCUTANEOUS, SOTYKTU, STELARA SUBCUTANEOUS, TALTZ, TREMFYA, XELJANZ, XELJANZ XR, ZEPOSIA  </w:t>
            </w:r>
          </w:p>
        </w:tc>
      </w:tr>
      <w:tr w:rsidR="00AA2C0A" w14:paraId="7B1FE091" w14:textId="77777777" w:rsidTr="00AA2C0A">
        <w:trPr>
          <w:trHeight w:val="300"/>
        </w:trPr>
        <w:tc>
          <w:tcPr>
            <w:tcW w:w="2040" w:type="dxa"/>
            <w:tcBorders>
              <w:top w:val="nil"/>
              <w:left w:val="single" w:sz="8" w:space="0" w:color="auto"/>
              <w:bottom w:val="single" w:sz="8" w:space="0" w:color="auto"/>
              <w:right w:val="single" w:sz="8" w:space="0" w:color="auto"/>
            </w:tcBorders>
            <w:hideMark/>
          </w:tcPr>
          <w:p w14:paraId="06A32B13" w14:textId="77777777" w:rsidR="00AA2C0A" w:rsidRDefault="00AA2C0A">
            <w:pPr>
              <w:pStyle w:val="EndnoteText"/>
              <w:spacing w:line="252" w:lineRule="auto"/>
            </w:pPr>
            <w:r>
              <w:t xml:space="preserve">Standard </w:t>
            </w:r>
            <w:proofErr w:type="spellStart"/>
            <w:r>
              <w:t>Opt</w:t>
            </w:r>
            <w:proofErr w:type="spellEnd"/>
            <w:r>
              <w:t xml:space="preserve"> Out Plan with ACSF  </w:t>
            </w:r>
          </w:p>
        </w:tc>
        <w:tc>
          <w:tcPr>
            <w:tcW w:w="3060" w:type="dxa"/>
            <w:tcBorders>
              <w:top w:val="nil"/>
              <w:left w:val="nil"/>
              <w:bottom w:val="single" w:sz="8" w:space="0" w:color="auto"/>
              <w:right w:val="single" w:sz="8" w:space="0" w:color="auto"/>
            </w:tcBorders>
            <w:hideMark/>
          </w:tcPr>
          <w:p w14:paraId="3CB832CC" w14:textId="77777777" w:rsidR="00AA2C0A" w:rsidRDefault="00AA2C0A">
            <w:pPr>
              <w:pStyle w:val="EndnoteText"/>
              <w:spacing w:line="252" w:lineRule="auto"/>
            </w:pPr>
            <w:r>
              <w:t>ADALIMUMAB-ADAZ  </w:t>
            </w:r>
          </w:p>
          <w:p w14:paraId="01818D1C" w14:textId="77777777" w:rsidR="00AA2C0A" w:rsidRDefault="00AA2C0A">
            <w:pPr>
              <w:pStyle w:val="EndnoteText"/>
              <w:spacing w:line="252" w:lineRule="auto"/>
            </w:pPr>
            <w:r>
              <w:t>HYRIMOZ  </w:t>
            </w:r>
          </w:p>
        </w:tc>
        <w:tc>
          <w:tcPr>
            <w:tcW w:w="3870" w:type="dxa"/>
            <w:tcBorders>
              <w:top w:val="nil"/>
              <w:left w:val="nil"/>
              <w:bottom w:val="single" w:sz="8" w:space="0" w:color="auto"/>
              <w:right w:val="single" w:sz="8" w:space="0" w:color="auto"/>
            </w:tcBorders>
            <w:hideMark/>
          </w:tcPr>
          <w:p w14:paraId="620F2C35" w14:textId="77777777" w:rsidR="00AA2C0A" w:rsidRDefault="00AA2C0A">
            <w:pPr>
              <w:pStyle w:val="EndnoteText"/>
              <w:spacing w:line="252" w:lineRule="auto"/>
            </w:pPr>
            <w:r>
              <w:t>CIMZIA, COSENTYX, ENBREL, KEVZARA, ORENCIA SQ/CLICK, OTEZLA, RINVOQ, SKYRIZI SUBCUTANEOUS, SOTYKTU, STELARA SUBCUTANEOUS, TALTZ, TREMFYA, XELJANZ, XELJANZ XR, ZEPOSIA  </w:t>
            </w:r>
          </w:p>
        </w:tc>
      </w:tr>
    </w:tbl>
    <w:p w14:paraId="1C9A8FCA" w14:textId="77777777" w:rsidR="00AA2C0A" w:rsidRDefault="00AA2C0A"/>
    <w:sectPr w:rsidR="00AA2C0A" w:rsidSect="00AA2C0A">
      <w:headerReference w:type="default" r:id="rId6"/>
      <w:footerReference w:type="first" r:id="rId7"/>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BFB5" w14:textId="77777777" w:rsidR="0073078C" w:rsidRDefault="0073078C" w:rsidP="00AA2C0A">
      <w:r>
        <w:separator/>
      </w:r>
    </w:p>
  </w:endnote>
  <w:endnote w:type="continuationSeparator" w:id="0">
    <w:p w14:paraId="23117D22" w14:textId="77777777" w:rsidR="0073078C" w:rsidRDefault="0073078C" w:rsidP="00AA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VS Health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AC69" w14:textId="77777777" w:rsidR="00AA2C0A" w:rsidRDefault="00AA2C0A" w:rsidP="00AA2C0A">
    <w:r>
      <w:rPr>
        <w:rFonts w:ascii="CVS Health Sans" w:hAnsi="CVS Health Sans"/>
        <w:color w:val="000000"/>
      </w:rPr>
      <w:t>**This email is being sent to both Plan Sponsor and Broker contacts. There is also a Webinar that is open to both Broker and Plan Sponsors to cover this topic in further detail on Jan. 24</w:t>
    </w:r>
    <w:r>
      <w:rPr>
        <w:rFonts w:ascii="CVS Health Sans" w:hAnsi="CVS Health Sans"/>
        <w:color w:val="000000"/>
        <w:vertAlign w:val="superscript"/>
      </w:rPr>
      <w:t>th</w:t>
    </w:r>
    <w:r>
      <w:rPr>
        <w:rFonts w:ascii="CVS Health Sans" w:hAnsi="CVS Health Sans"/>
        <w:color w:val="000000"/>
      </w:rPr>
      <w:t xml:space="preserve">. There is a Register link </w:t>
    </w:r>
    <w:proofErr w:type="gramStart"/>
    <w:r>
      <w:rPr>
        <w:rFonts w:ascii="CVS Health Sans" w:hAnsi="CVS Health Sans"/>
        <w:color w:val="000000"/>
      </w:rPr>
      <w:t>below.*</w:t>
    </w:r>
    <w:proofErr w:type="gramEnd"/>
    <w:r>
      <w:rPr>
        <w:rFonts w:ascii="CVS Health Sans" w:hAnsi="CVS Health Sans"/>
        <w:color w:val="000000"/>
      </w:rPr>
      <w:t>*</w:t>
    </w:r>
  </w:p>
  <w:p w14:paraId="65B8FE25" w14:textId="77777777" w:rsidR="00AA2C0A" w:rsidRDefault="00AA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59BC" w14:textId="77777777" w:rsidR="0073078C" w:rsidRDefault="0073078C" w:rsidP="00AA2C0A">
      <w:r>
        <w:separator/>
      </w:r>
    </w:p>
  </w:footnote>
  <w:footnote w:type="continuationSeparator" w:id="0">
    <w:p w14:paraId="179B30FA" w14:textId="77777777" w:rsidR="0073078C" w:rsidRDefault="0073078C" w:rsidP="00AA2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447B" w14:textId="2F5E44BC" w:rsidR="00AA2C0A" w:rsidRDefault="00AA2C0A" w:rsidP="00AA2C0A">
    <w:pPr>
      <w:pStyle w:val="Header"/>
      <w:jc w:val="both"/>
    </w:pPr>
    <w:r>
      <w:rPr>
        <w:noProof/>
      </w:rPr>
      <w:drawing>
        <wp:anchor distT="0" distB="0" distL="114300" distR="114300" simplePos="0" relativeHeight="251658240" behindDoc="0" locked="0" layoutInCell="1" allowOverlap="1" wp14:anchorId="12F1DF5E" wp14:editId="7D49B813">
          <wp:simplePos x="0" y="0"/>
          <wp:positionH relativeFrom="column">
            <wp:posOffset>-933450</wp:posOffset>
          </wp:positionH>
          <wp:positionV relativeFrom="paragraph">
            <wp:posOffset>-57150</wp:posOffset>
          </wp:positionV>
          <wp:extent cx="7762875" cy="11626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1626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0A"/>
    <w:rsid w:val="001E1DEF"/>
    <w:rsid w:val="00294604"/>
    <w:rsid w:val="0073078C"/>
    <w:rsid w:val="00820D83"/>
    <w:rsid w:val="008D08DB"/>
    <w:rsid w:val="00AA2C0A"/>
    <w:rsid w:val="00CB3142"/>
    <w:rsid w:val="00F8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64EBB"/>
  <w15:chartTrackingRefBased/>
  <w15:docId w15:val="{C1916071-F4C6-4F57-9104-118A5D2C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C0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C0A"/>
    <w:pPr>
      <w:ind w:left="720"/>
    </w:pPr>
  </w:style>
  <w:style w:type="paragraph" w:styleId="Header">
    <w:name w:val="header"/>
    <w:basedOn w:val="Normal"/>
    <w:link w:val="HeaderChar"/>
    <w:uiPriority w:val="99"/>
    <w:unhideWhenUsed/>
    <w:rsid w:val="00AA2C0A"/>
    <w:pPr>
      <w:tabs>
        <w:tab w:val="center" w:pos="4680"/>
        <w:tab w:val="right" w:pos="9360"/>
      </w:tabs>
    </w:pPr>
  </w:style>
  <w:style w:type="character" w:customStyle="1" w:styleId="HeaderChar">
    <w:name w:val="Header Char"/>
    <w:basedOn w:val="DefaultParagraphFont"/>
    <w:link w:val="Header"/>
    <w:uiPriority w:val="99"/>
    <w:rsid w:val="00AA2C0A"/>
    <w:rPr>
      <w:rFonts w:ascii="Calibri" w:hAnsi="Calibri" w:cs="Calibri"/>
      <w:kern w:val="0"/>
      <w14:ligatures w14:val="none"/>
    </w:rPr>
  </w:style>
  <w:style w:type="paragraph" w:styleId="Footer">
    <w:name w:val="footer"/>
    <w:basedOn w:val="Normal"/>
    <w:link w:val="FooterChar"/>
    <w:uiPriority w:val="99"/>
    <w:unhideWhenUsed/>
    <w:rsid w:val="00AA2C0A"/>
    <w:pPr>
      <w:tabs>
        <w:tab w:val="center" w:pos="4680"/>
        <w:tab w:val="right" w:pos="9360"/>
      </w:tabs>
    </w:pPr>
  </w:style>
  <w:style w:type="character" w:customStyle="1" w:styleId="FooterChar">
    <w:name w:val="Footer Char"/>
    <w:basedOn w:val="DefaultParagraphFont"/>
    <w:link w:val="Footer"/>
    <w:uiPriority w:val="99"/>
    <w:rsid w:val="00AA2C0A"/>
    <w:rPr>
      <w:rFonts w:ascii="Calibri" w:hAnsi="Calibri" w:cs="Calibri"/>
      <w:kern w:val="0"/>
      <w14:ligatures w14:val="none"/>
    </w:rPr>
  </w:style>
  <w:style w:type="paragraph" w:styleId="EndnoteText">
    <w:name w:val="endnote text"/>
    <w:basedOn w:val="Normal"/>
    <w:link w:val="EndnoteTextChar"/>
    <w:uiPriority w:val="99"/>
    <w:semiHidden/>
    <w:unhideWhenUsed/>
    <w:rsid w:val="00AA2C0A"/>
    <w:rPr>
      <w:sz w:val="20"/>
      <w:szCs w:val="20"/>
    </w:rPr>
  </w:style>
  <w:style w:type="character" w:customStyle="1" w:styleId="EndnoteTextChar">
    <w:name w:val="Endnote Text Char"/>
    <w:basedOn w:val="DefaultParagraphFont"/>
    <w:link w:val="EndnoteText"/>
    <w:uiPriority w:val="99"/>
    <w:semiHidden/>
    <w:rsid w:val="00AA2C0A"/>
    <w:rPr>
      <w:rFonts w:ascii="Calibri" w:hAnsi="Calibri"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00113">
      <w:bodyDiv w:val="1"/>
      <w:marLeft w:val="0"/>
      <w:marRight w:val="0"/>
      <w:marTop w:val="0"/>
      <w:marBottom w:val="0"/>
      <w:divBdr>
        <w:top w:val="none" w:sz="0" w:space="0" w:color="auto"/>
        <w:left w:val="none" w:sz="0" w:space="0" w:color="auto"/>
        <w:bottom w:val="none" w:sz="0" w:space="0" w:color="auto"/>
        <w:right w:val="none" w:sz="0" w:space="0" w:color="auto"/>
      </w:divBdr>
    </w:div>
    <w:div w:id="998196230">
      <w:bodyDiv w:val="1"/>
      <w:marLeft w:val="0"/>
      <w:marRight w:val="0"/>
      <w:marTop w:val="0"/>
      <w:marBottom w:val="0"/>
      <w:divBdr>
        <w:top w:val="none" w:sz="0" w:space="0" w:color="auto"/>
        <w:left w:val="none" w:sz="0" w:space="0" w:color="auto"/>
        <w:bottom w:val="none" w:sz="0" w:space="0" w:color="auto"/>
        <w:right w:val="none" w:sz="0" w:space="0" w:color="auto"/>
      </w:divBdr>
    </w:div>
    <w:div w:id="20423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Amundsen</dc:creator>
  <cp:keywords/>
  <dc:description/>
  <cp:lastModifiedBy>Mary Amundsen</cp:lastModifiedBy>
  <cp:revision>1</cp:revision>
  <dcterms:created xsi:type="dcterms:W3CDTF">2024-02-05T16:39:00Z</dcterms:created>
  <dcterms:modified xsi:type="dcterms:W3CDTF">2024-02-05T17:56:00Z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-1822634500</vt:i4>
  </property>
  <property fmtid="{D5CDD505-2E9C-101B-9397-08002B2CF9AE}" pid="3" name="_NewReviewCycle">
    <vt:lpwstr/>
  </property>
  <property fmtid="{D5CDD505-2E9C-101B-9397-08002B2CF9AE}" pid="4" name="_EmailSubject">
    <vt:lpwstr>Aetna notice</vt:lpwstr>
  </property>
  <property fmtid="{D5CDD505-2E9C-101B-9397-08002B2CF9AE}" pid="5" name="_AuthorEmail">
    <vt:lpwstr>mamundsen@bukaty.com</vt:lpwstr>
  </property>
  <property fmtid="{D5CDD505-2E9C-101B-9397-08002B2CF9AE}" pid="6" name="_AuthorEmailDisplayName">
    <vt:lpwstr>Mary Amundsen</vt:lpwstr>
  </property>
</Properties>
</file>